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458E" w:rsidRPr="0015458E" w:rsidRDefault="0015458E" w:rsidP="0015458E">
      <w:pPr>
        <w:shd w:val="clear" w:color="auto" w:fill="FFFFFF"/>
        <w:spacing w:before="300" w:after="600" w:line="553" w:lineRule="atLeast"/>
        <w:outlineLvl w:val="1"/>
        <w:rPr>
          <w:rFonts w:ascii="Source Sans Pro" w:eastAsia="Times New Roman" w:hAnsi="Source Sans Pro" w:cs="Times New Roman"/>
          <w:b/>
          <w:bCs/>
          <w:caps/>
          <w:color w:val="3E5062"/>
          <w:spacing w:val="9"/>
          <w:sz w:val="36"/>
          <w:szCs w:val="36"/>
          <w:lang w:eastAsia="ru-RU"/>
        </w:rPr>
      </w:pPr>
      <w:bookmarkStart w:id="0" w:name="_GoBack"/>
      <w:r w:rsidRPr="0015458E">
        <w:rPr>
          <w:rFonts w:ascii="Source Sans Pro" w:eastAsia="Times New Roman" w:hAnsi="Source Sans Pro" w:cs="Times New Roman"/>
          <w:b/>
          <w:bCs/>
          <w:caps/>
          <w:color w:val="9D0A0F"/>
          <w:spacing w:val="9"/>
          <w:sz w:val="36"/>
          <w:szCs w:val="36"/>
          <w:lang w:eastAsia="ru-RU"/>
        </w:rPr>
        <w:t>Состав бюджетного плана счетов</w:t>
      </w:r>
    </w:p>
    <w:bookmarkEnd w:id="0"/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Бухгалтеры бюджетных учреждений должны руководствоваться </w:t>
      </w:r>
      <w:r w:rsidRPr="0015458E">
        <w:rPr>
          <w:rFonts w:ascii="Source Sans Pro" w:eastAsia="Times New Roman" w:hAnsi="Source Sans Pro" w:cs="Times New Roman"/>
          <w:color w:val="0076A4"/>
          <w:sz w:val="27"/>
          <w:szCs w:val="27"/>
          <w:shd w:val="clear" w:color="auto" w:fill="FFFFFF"/>
          <w:lang w:eastAsia="ru-RU"/>
        </w:rPr>
        <w:t>Планом счетов и Инструкцией по его применению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, которые утверждены </w:t>
      </w:r>
      <w:r w:rsidRPr="0015458E">
        <w:rPr>
          <w:rFonts w:ascii="Source Sans Pro" w:eastAsia="Times New Roman" w:hAnsi="Source Sans Pro" w:cs="Times New Roman"/>
          <w:color w:val="0076A4"/>
          <w:sz w:val="27"/>
          <w:szCs w:val="27"/>
          <w:shd w:val="clear" w:color="auto" w:fill="FFFFFF"/>
          <w:lang w:eastAsia="ru-RU"/>
        </w:rPr>
        <w:t>Приказом Минфина РФ от 16 декабря 2010 г. No174н (с изменениями и дополнениями от 31.12.2015).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В составе бюджетного плана счетов примерно 2000 счетов. Но, в сущности, большая их часть — это субсчета. Конечно же, бухгалтеры не пользуются всеми счетами, а, равно как и в коммерческих структурах, разрабатывают рабочий план счетов.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Собственно, те счета, которые наиболее активно используются в деятельности бюджетников, входят в следующие разделы, их всего пять:</w:t>
      </w:r>
    </w:p>
    <w:p w:rsidR="0015458E" w:rsidRPr="0015458E" w:rsidRDefault="0015458E" w:rsidP="0015458E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b/>
          <w:bCs/>
          <w:color w:val="A36209"/>
          <w:sz w:val="27"/>
          <w:szCs w:val="27"/>
          <w:lang w:eastAsia="ru-RU"/>
        </w:rPr>
        <w:t>1. Нефинансовые активы.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</w:p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Сюда включаются основные средства и нематериальные активы, а также все связанные с ними операции, например амортизация. Также в этот раздел входят материальные запасы, готовая продукция и капвложения.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b/>
          <w:bCs/>
          <w:color w:val="A36209"/>
          <w:sz w:val="27"/>
          <w:szCs w:val="27"/>
          <w:shd w:val="clear" w:color="auto" w:fill="FFFFFF"/>
          <w:lang w:eastAsia="ru-RU"/>
        </w:rPr>
        <w:t>2. Финансовые активы.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 xml:space="preserve">Название говорит само за себя и охватывает денежные средства и финансовые вложения учреждения, такие как ценные бумаги, депозиты, акции. 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Помимо этого,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 xml:space="preserve"> к финансовым активам относят также все виды дебиторской задолженности, включая расчеты с дебиторами по доходам, расчеты с подотчетными лицами и т.п.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</w:p>
    <w:p w:rsidR="0015458E" w:rsidRPr="0015458E" w:rsidRDefault="0015458E" w:rsidP="0015458E">
      <w:pPr>
        <w:shd w:val="clear" w:color="auto" w:fill="FFFFFF"/>
        <w:spacing w:after="0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</w:pPr>
      <w:r w:rsidRPr="0015458E">
        <w:rPr>
          <w:rFonts w:ascii="Source Sans Pro" w:eastAsia="Times New Roman" w:hAnsi="Source Sans Pro" w:cs="Times New Roman"/>
          <w:b/>
          <w:bCs/>
          <w:color w:val="A36209"/>
          <w:sz w:val="27"/>
          <w:szCs w:val="27"/>
          <w:lang w:eastAsia="ru-RU"/>
        </w:rPr>
        <w:t>3. Обязательства.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</w:p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Раздел схож с понятием обязательств в коммерческой сфере и подразумевает любые формы кредиторской задолженности, такие как расчеты с поставщиками и подрядчиками, расчеты по налогам и сборам, расчеты по долговым обязательствам…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b/>
          <w:bCs/>
          <w:color w:val="A36209"/>
          <w:sz w:val="27"/>
          <w:szCs w:val="27"/>
          <w:shd w:val="clear" w:color="auto" w:fill="FFFFFF"/>
          <w:lang w:eastAsia="ru-RU"/>
        </w:rPr>
        <w:t>4. Финансовый результат.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 xml:space="preserve">В разделе помещается информация о финансовых итогах не только за текущий год, но и за предшествующие годы деятельности учреждений. Также 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lastRenderedPageBreak/>
        <w:t>в нем указываются сведения о кассовом исполнении бюджета и о доходах будущих периодов.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b/>
          <w:bCs/>
          <w:color w:val="A36209"/>
          <w:sz w:val="27"/>
          <w:szCs w:val="27"/>
          <w:shd w:val="clear" w:color="auto" w:fill="FFFFFF"/>
          <w:lang w:eastAsia="ru-RU"/>
        </w:rPr>
        <w:t>5. Санкционирование расходов бюджетов.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Пожалуй, самый кардинально отличающийся от коммерции раздел. На входящих в него счетах идет учет бюджетных ассигнований и лимитов по бюджетным обязательствам.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Аналогично общему плану счетов, бюджетный содержит забалансовые счета, отражающие ценности, временно находящихся в учреждении и не принадлежащие ему.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</w:p>
    <w:p w:rsidR="0015458E" w:rsidRPr="0015458E" w:rsidRDefault="0015458E" w:rsidP="0015458E">
      <w:pPr>
        <w:shd w:val="clear" w:color="auto" w:fill="FFFFFF"/>
        <w:spacing w:before="300" w:after="600" w:line="553" w:lineRule="atLeast"/>
        <w:outlineLvl w:val="1"/>
        <w:rPr>
          <w:rFonts w:ascii="Source Sans Pro" w:eastAsia="Times New Roman" w:hAnsi="Source Sans Pro" w:cs="Times New Roman"/>
          <w:b/>
          <w:bCs/>
          <w:caps/>
          <w:color w:val="3E5062"/>
          <w:spacing w:val="9"/>
          <w:sz w:val="36"/>
          <w:szCs w:val="36"/>
          <w:lang w:eastAsia="ru-RU"/>
        </w:rPr>
      </w:pPr>
      <w:r w:rsidRPr="0015458E">
        <w:rPr>
          <w:rFonts w:ascii="Source Sans Pro" w:eastAsia="Times New Roman" w:hAnsi="Source Sans Pro" w:cs="Times New Roman"/>
          <w:b/>
          <w:bCs/>
          <w:caps/>
          <w:color w:val="9D0A0F"/>
          <w:spacing w:val="9"/>
          <w:sz w:val="36"/>
          <w:szCs w:val="36"/>
          <w:lang w:eastAsia="ru-RU"/>
        </w:rPr>
        <w:t>Схема работы бюджетных счетов</w:t>
      </w:r>
    </w:p>
    <w:p w:rsidR="0015458E" w:rsidRDefault="0015458E" w:rsidP="0015458E">
      <w:pPr>
        <w:spacing w:after="0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Не могу ни обратить внимание на один нюанс, касающийся изменений активов и обязательств учреждений бюджетной сферы. Дело в том, что при движении одного и того же вида активов или обязательств в бухгалтерском учете бюджетников используются разные счета, т.е. при 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увеличении</w:t>
      </w:r>
      <w:r w:rsidRPr="0015458E">
        <w:rPr>
          <w:rFonts w:ascii="Source Sans Pro" w:eastAsia="Times New Roman" w:hAnsi="Source Sans Pro" w:cs="Times New Roman"/>
          <w:i/>
          <w:iCs/>
          <w:color w:val="E84C3D"/>
          <w:sz w:val="27"/>
          <w:szCs w:val="27"/>
          <w:shd w:val="clear" w:color="auto" w:fill="FFFFFF"/>
          <w:lang w:eastAsia="ru-RU"/>
        </w:rPr>
        <w:t> 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субъекта бухучета запись делается по </w:t>
      </w:r>
      <w:r w:rsidRPr="0015458E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shd w:val="clear" w:color="auto" w:fill="FFFFFF"/>
          <w:lang w:eastAsia="ru-RU"/>
        </w:rPr>
        <w:t>Дебету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 одного счета, а при его уменьшении, соответственно, по </w:t>
      </w:r>
      <w:r w:rsidRPr="0015458E">
        <w:rPr>
          <w:rFonts w:ascii="Source Sans Pro" w:eastAsia="Times New Roman" w:hAnsi="Source Sans Pro" w:cs="Times New Roman"/>
          <w:b/>
          <w:bCs/>
          <w:color w:val="333333"/>
          <w:sz w:val="27"/>
          <w:szCs w:val="27"/>
          <w:shd w:val="clear" w:color="auto" w:fill="FFFFFF"/>
          <w:lang w:eastAsia="ru-RU"/>
        </w:rPr>
        <w:t>Кредиту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 другого.</w:t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lang w:eastAsia="ru-RU"/>
        </w:rPr>
        <w:br/>
      </w: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Например, если увеличивается стоимость материалов, то бухгалтер формирует проводку:</w:t>
      </w:r>
    </w:p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44B8903" wp14:editId="26BAA673">
            <wp:extent cx="5223052" cy="2512608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6353" t="38313" r="41134" b="33881"/>
                    <a:stretch/>
                  </pic:blipFill>
                  <pic:spPr bwMode="auto">
                    <a:xfrm>
                      <a:off x="0" y="0"/>
                      <a:ext cx="5274953" cy="2537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58E" w:rsidRPr="0015458E" w:rsidRDefault="0015458E" w:rsidP="0015458E">
      <w:pPr>
        <w:shd w:val="clear" w:color="auto" w:fill="FFFFFF"/>
        <w:spacing w:before="300" w:after="600" w:line="553" w:lineRule="atLeast"/>
        <w:outlineLvl w:val="1"/>
        <w:rPr>
          <w:rFonts w:ascii="Source Sans Pro" w:eastAsia="Times New Roman" w:hAnsi="Source Sans Pro" w:cs="Times New Roman"/>
          <w:b/>
          <w:bCs/>
          <w:caps/>
          <w:color w:val="3E5062"/>
          <w:spacing w:val="9"/>
          <w:sz w:val="36"/>
          <w:szCs w:val="36"/>
          <w:lang w:eastAsia="ru-RU"/>
        </w:rPr>
      </w:pPr>
      <w:r w:rsidRPr="0015458E">
        <w:rPr>
          <w:rFonts w:ascii="Source Sans Pro" w:eastAsia="Times New Roman" w:hAnsi="Source Sans Pro" w:cs="Times New Roman"/>
          <w:b/>
          <w:bCs/>
          <w:caps/>
          <w:color w:val="9D0A0F"/>
          <w:spacing w:val="9"/>
          <w:sz w:val="36"/>
          <w:szCs w:val="36"/>
          <w:lang w:eastAsia="ru-RU"/>
        </w:rPr>
        <w:t>Структура номера счета</w:t>
      </w:r>
    </w:p>
    <w:p w:rsidR="0015458E" w:rsidRDefault="0015458E" w:rsidP="0015458E">
      <w:pPr>
        <w:spacing w:after="0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lastRenderedPageBreak/>
        <w:t>Структура счета складывается из 26 разрядов, каждый из которых несет информацию об организации. Для простоты запоминания оформим структуру счета в таблицу.</w:t>
      </w:r>
    </w:p>
    <w:p w:rsid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EA863E8">
            <wp:extent cx="5796067" cy="3449193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2665" cy="34709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458E" w:rsidRDefault="0015458E" w:rsidP="0015458E">
      <w:pPr>
        <w:spacing w:after="0" w:line="240" w:lineRule="auto"/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</w:pPr>
      <w:r w:rsidRPr="0015458E">
        <w:rPr>
          <w:rFonts w:ascii="Source Sans Pro" w:eastAsia="Times New Roman" w:hAnsi="Source Sans Pro" w:cs="Times New Roman"/>
          <w:color w:val="333333"/>
          <w:sz w:val="27"/>
          <w:szCs w:val="27"/>
          <w:shd w:val="clear" w:color="auto" w:fill="FFFFFF"/>
          <w:lang w:eastAsia="ru-RU"/>
        </w:rPr>
        <w:t>А теперь на примере попробуем расшифровать кодировку бюджетного счета.</w:t>
      </w:r>
    </w:p>
    <w:p w:rsidR="0015458E" w:rsidRPr="0015458E" w:rsidRDefault="0015458E" w:rsidP="001545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578A55">
            <wp:extent cx="5208373" cy="2259559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9192" cy="227726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E0D6C" w:rsidRDefault="0015458E"/>
    <w:sectPr w:rsidR="00CE0D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58E"/>
    <w:rsid w:val="0015458E"/>
    <w:rsid w:val="00E0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7ABFF"/>
  <w15:chartTrackingRefBased/>
  <w15:docId w15:val="{265ED0B2-8CD4-47CB-8B4C-740E3A3B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5458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5458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394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7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415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Галина Сергеевна</dc:creator>
  <cp:keywords/>
  <dc:description/>
  <cp:lastModifiedBy>Бондарева Галина Сергеевна</cp:lastModifiedBy>
  <cp:revision>1</cp:revision>
  <dcterms:created xsi:type="dcterms:W3CDTF">2024-10-08T03:26:00Z</dcterms:created>
  <dcterms:modified xsi:type="dcterms:W3CDTF">2024-10-08T03:30:00Z</dcterms:modified>
</cp:coreProperties>
</file>