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15D1" w:rsidRPr="007560A9" w:rsidRDefault="00C215D1" w:rsidP="00C215D1">
      <w:pPr>
        <w:ind w:firstLine="360"/>
        <w:jc w:val="center"/>
        <w:rPr>
          <w:b/>
          <w:color w:val="000000"/>
          <w:sz w:val="28"/>
          <w:szCs w:val="28"/>
        </w:rPr>
      </w:pPr>
      <w:r w:rsidRPr="007560A9">
        <w:rPr>
          <w:b/>
          <w:color w:val="000000"/>
          <w:sz w:val="28"/>
          <w:szCs w:val="28"/>
        </w:rPr>
        <w:t>4.1.1. Перечень вопросов, выносимых на государственный экзамен</w:t>
      </w:r>
    </w:p>
    <w:p w:rsidR="00C215D1" w:rsidRPr="00823D45" w:rsidRDefault="00C215D1" w:rsidP="00C215D1">
      <w:pPr>
        <w:ind w:firstLine="360"/>
        <w:rPr>
          <w:i/>
          <w:color w:val="FF0000"/>
          <w:sz w:val="28"/>
          <w:szCs w:val="28"/>
        </w:rPr>
      </w:pPr>
    </w:p>
    <w:p w:rsidR="00C215D1" w:rsidRDefault="00C215D1" w:rsidP="00C215D1">
      <w:pPr>
        <w:ind w:firstLine="360"/>
        <w:jc w:val="both"/>
        <w:rPr>
          <w:color w:val="000000"/>
          <w:sz w:val="28"/>
          <w:szCs w:val="28"/>
        </w:rPr>
      </w:pPr>
      <w:r w:rsidRPr="00BF55EE">
        <w:rPr>
          <w:color w:val="000000"/>
          <w:sz w:val="28"/>
          <w:szCs w:val="28"/>
        </w:rPr>
        <w:t>Примерный перечень вопросов</w:t>
      </w:r>
      <w:r w:rsidRPr="00405327">
        <w:rPr>
          <w:color w:val="000000"/>
          <w:sz w:val="28"/>
          <w:szCs w:val="28"/>
        </w:rPr>
        <w:t xml:space="preserve">, выносимых на государственный экзамен для проверки степени </w:t>
      </w:r>
      <w:proofErr w:type="spellStart"/>
      <w:r w:rsidRPr="00405327">
        <w:rPr>
          <w:color w:val="000000"/>
          <w:sz w:val="28"/>
          <w:szCs w:val="28"/>
        </w:rPr>
        <w:t>сформированности</w:t>
      </w:r>
      <w:proofErr w:type="spellEnd"/>
      <w:r w:rsidRPr="00405327">
        <w:rPr>
          <w:color w:val="000000"/>
          <w:sz w:val="28"/>
          <w:szCs w:val="28"/>
        </w:rPr>
        <w:t xml:space="preserve"> компетенций. </w:t>
      </w:r>
    </w:p>
    <w:p w:rsidR="00C215D1" w:rsidRDefault="00C215D1" w:rsidP="00C215D1">
      <w:pPr>
        <w:ind w:firstLine="360"/>
        <w:jc w:val="both"/>
        <w:rPr>
          <w:color w:val="000000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1701"/>
        <w:gridCol w:w="4961"/>
        <w:gridCol w:w="1276"/>
        <w:gridCol w:w="1418"/>
      </w:tblGrid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№</w:t>
            </w:r>
          </w:p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Дисциплина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Вопросы к ГЭ</w:t>
            </w:r>
          </w:p>
        </w:tc>
        <w:tc>
          <w:tcPr>
            <w:tcW w:w="1276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  <w:highlight w:val="cyan"/>
              </w:rPr>
            </w:pPr>
            <w:r w:rsidRPr="006A1DDE">
              <w:rPr>
                <w:color w:val="000000"/>
                <w:sz w:val="24"/>
                <w:szCs w:val="24"/>
              </w:rPr>
              <w:t>Формируемые компетенции</w:t>
            </w:r>
          </w:p>
        </w:tc>
        <w:tc>
          <w:tcPr>
            <w:tcW w:w="1418" w:type="dxa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Код индикатора</w:t>
            </w:r>
          </w:p>
        </w:tc>
      </w:tr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sz w:val="24"/>
                <w:szCs w:val="24"/>
              </w:rPr>
              <w:t xml:space="preserve">Аудит 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Нормативно-правовое регулирование аудиторской деятельности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Организация и планирование аудиторской проверки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Методика проведения аудиторской проверки и документальное оформление ее результатов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Аудит учредительных документов и учета расчетов с учредителями, прочих видов капитала и резервов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 xml:space="preserve">Аудиторская проверка учета </w:t>
            </w:r>
            <w:proofErr w:type="spellStart"/>
            <w:r w:rsidRPr="00F63C50">
              <w:rPr>
                <w:sz w:val="24"/>
                <w:szCs w:val="24"/>
              </w:rPr>
              <w:t>внеоборотных</w:t>
            </w:r>
            <w:proofErr w:type="spellEnd"/>
            <w:r w:rsidRPr="00F63C50">
              <w:rPr>
                <w:sz w:val="24"/>
                <w:szCs w:val="24"/>
              </w:rPr>
              <w:t xml:space="preserve"> активов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Аудиторская проверка учета оборотных активов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Аудит учета расчетных и кредитных операций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 xml:space="preserve">Аудиторская проверка учета финансовых результатов 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4"/>
                <w:szCs w:val="24"/>
              </w:rPr>
            </w:pPr>
            <w:r w:rsidRPr="00F63C50">
              <w:rPr>
                <w:sz w:val="24"/>
                <w:szCs w:val="24"/>
              </w:rPr>
              <w:t>Аудиторская проверка бухгалтерской отчетности</w:t>
            </w:r>
          </w:p>
          <w:p w:rsidR="00C215D1" w:rsidRPr="00F63C50" w:rsidRDefault="00C215D1" w:rsidP="00E973EF">
            <w:pPr>
              <w:pStyle w:val="a3"/>
              <w:numPr>
                <w:ilvl w:val="0"/>
                <w:numId w:val="1"/>
              </w:numPr>
              <w:ind w:left="0" w:firstLine="176"/>
              <w:rPr>
                <w:sz w:val="28"/>
                <w:szCs w:val="28"/>
              </w:rPr>
            </w:pPr>
            <w:r w:rsidRPr="00F63C50">
              <w:rPr>
                <w:sz w:val="24"/>
                <w:szCs w:val="24"/>
              </w:rPr>
              <w:t>Аудит налогообложения</w:t>
            </w:r>
          </w:p>
        </w:tc>
        <w:tc>
          <w:tcPr>
            <w:tcW w:w="1276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23879">
              <w:rPr>
                <w:color w:val="000000"/>
                <w:sz w:val="24"/>
                <w:szCs w:val="24"/>
              </w:rPr>
              <w:t>ПК-2</w:t>
            </w:r>
          </w:p>
        </w:tc>
        <w:tc>
          <w:tcPr>
            <w:tcW w:w="1418" w:type="dxa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23879">
              <w:rPr>
                <w:color w:val="000000"/>
                <w:sz w:val="24"/>
                <w:szCs w:val="24"/>
              </w:rPr>
              <w:t>ПК-2.1; ПК-2.2; ПК-2.3</w:t>
            </w:r>
          </w:p>
        </w:tc>
      </w:tr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6A1DDE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i/>
                <w:color w:val="000000"/>
                <w:sz w:val="24"/>
                <w:szCs w:val="24"/>
              </w:rPr>
            </w:pPr>
            <w:r w:rsidRPr="006A1DDE">
              <w:rPr>
                <w:sz w:val="24"/>
                <w:szCs w:val="24"/>
              </w:rPr>
              <w:t>Банковское дело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hanging="283"/>
              <w:jc w:val="both"/>
              <w:rPr>
                <w:sz w:val="24"/>
                <w:szCs w:val="24"/>
              </w:rPr>
            </w:pPr>
            <w:r w:rsidRPr="00B3134B">
              <w:rPr>
                <w:sz w:val="24"/>
                <w:szCs w:val="24"/>
              </w:rPr>
              <w:t>Сущность банка и его организационные основы. Понятие и направления банковского менеджмента.</w:t>
            </w:r>
          </w:p>
          <w:p w:rsidR="00C215D1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hanging="283"/>
              <w:jc w:val="both"/>
              <w:rPr>
                <w:sz w:val="24"/>
                <w:szCs w:val="24"/>
              </w:rPr>
            </w:pPr>
            <w:r w:rsidRPr="00B3134B">
              <w:rPr>
                <w:sz w:val="24"/>
                <w:szCs w:val="24"/>
              </w:rPr>
              <w:t>Ключевые функции банковской системы в экономике. Оценка состояния банковской системы РФ.</w:t>
            </w:r>
          </w:p>
          <w:p w:rsidR="00C215D1" w:rsidRPr="00B3134B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B3134B">
              <w:rPr>
                <w:sz w:val="24"/>
                <w:szCs w:val="24"/>
              </w:rPr>
              <w:t xml:space="preserve">Денежно-кредитная политика Банка России: цели, </w:t>
            </w:r>
            <w:r>
              <w:rPr>
                <w:sz w:val="24"/>
                <w:szCs w:val="24"/>
              </w:rPr>
              <w:t xml:space="preserve">типы, </w:t>
            </w:r>
            <w:r w:rsidRPr="00B3134B">
              <w:rPr>
                <w:sz w:val="24"/>
                <w:szCs w:val="24"/>
              </w:rPr>
              <w:t>инструменты, методы.</w:t>
            </w:r>
          </w:p>
          <w:p w:rsidR="00C215D1" w:rsidRPr="000E5D72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0E5D72">
              <w:rPr>
                <w:sz w:val="24"/>
                <w:szCs w:val="24"/>
              </w:rPr>
              <w:t>Понятие и экономическое содержание активов банка. Политика управления активами коммерческого банка.</w:t>
            </w:r>
          </w:p>
          <w:p w:rsidR="00C215D1" w:rsidRPr="00B3134B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B3134B">
              <w:rPr>
                <w:sz w:val="24"/>
                <w:szCs w:val="24"/>
              </w:rPr>
              <w:t>Баланс коммерческого банка, его значение, принципы построения, структура</w:t>
            </w:r>
            <w:r>
              <w:rPr>
                <w:sz w:val="24"/>
                <w:szCs w:val="24"/>
              </w:rPr>
              <w:t>, методы анализа</w:t>
            </w:r>
            <w:r w:rsidRPr="00B3134B">
              <w:rPr>
                <w:sz w:val="24"/>
                <w:szCs w:val="24"/>
              </w:rPr>
              <w:t>.</w:t>
            </w:r>
          </w:p>
          <w:p w:rsidR="00C215D1" w:rsidRPr="00B3134B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B3134B">
              <w:rPr>
                <w:sz w:val="24"/>
                <w:szCs w:val="24"/>
              </w:rPr>
              <w:t>Ресурсы коммерческого банка и методы их пополнения. Понятие собственного капитала банка, его функции.</w:t>
            </w:r>
          </w:p>
          <w:p w:rsidR="00C215D1" w:rsidRPr="00B3134B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bookmarkStart w:id="0" w:name="_Hlk61691176"/>
            <w:r w:rsidRPr="00B3134B">
              <w:rPr>
                <w:sz w:val="24"/>
                <w:szCs w:val="24"/>
              </w:rPr>
              <w:t>Понятие ликвидности коммерческого банка и методы ее регулирования</w:t>
            </w:r>
            <w:bookmarkEnd w:id="0"/>
            <w:r w:rsidRPr="00B3134B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Нормативы ликвидности.</w:t>
            </w:r>
          </w:p>
          <w:p w:rsidR="00C215D1" w:rsidRPr="00B3134B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B3134B">
              <w:rPr>
                <w:sz w:val="24"/>
                <w:szCs w:val="24"/>
              </w:rPr>
              <w:t xml:space="preserve">Условия и порядок получения кредита в </w:t>
            </w:r>
            <w:r w:rsidRPr="00B3134B">
              <w:rPr>
                <w:sz w:val="24"/>
                <w:szCs w:val="24"/>
              </w:rPr>
              <w:lastRenderedPageBreak/>
              <w:t>коммерческом банке (для физических лиц, для юридических лиц).</w:t>
            </w:r>
          </w:p>
          <w:p w:rsidR="00C215D1" w:rsidRPr="000E5D72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283"/>
                <w:tab w:val="left" w:pos="993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0E5D72">
              <w:rPr>
                <w:sz w:val="24"/>
                <w:szCs w:val="24"/>
              </w:rPr>
              <w:t>Финансовый результат деятельности банка. Классификация доходов и расходов банка. Понятие эффективности банковских операций, показатели её оценки.</w:t>
            </w:r>
          </w:p>
          <w:p w:rsidR="00C215D1" w:rsidRPr="006A228D" w:rsidRDefault="00C215D1" w:rsidP="00E973EF">
            <w:pPr>
              <w:pStyle w:val="a3"/>
              <w:widowControl w:val="0"/>
              <w:numPr>
                <w:ilvl w:val="0"/>
                <w:numId w:val="5"/>
              </w:numPr>
              <w:shd w:val="clear" w:color="auto" w:fill="FFFFFF"/>
              <w:tabs>
                <w:tab w:val="left" w:pos="459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A27F4D">
              <w:rPr>
                <w:sz w:val="24"/>
                <w:szCs w:val="24"/>
              </w:rPr>
              <w:t>Система финансовых и нефинансовых рисков коммерческого банка. Риск-менеджмент в кредитных организаци</w:t>
            </w:r>
            <w:r>
              <w:rPr>
                <w:sz w:val="24"/>
                <w:szCs w:val="24"/>
              </w:rPr>
              <w:t>ях.</w:t>
            </w:r>
          </w:p>
        </w:tc>
        <w:tc>
          <w:tcPr>
            <w:tcW w:w="1276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23879">
              <w:rPr>
                <w:color w:val="000000"/>
                <w:sz w:val="24"/>
                <w:szCs w:val="24"/>
              </w:rPr>
              <w:lastRenderedPageBreak/>
              <w:t>ПК-6, ПК-7, ПК-8</w:t>
            </w:r>
          </w:p>
        </w:tc>
        <w:tc>
          <w:tcPr>
            <w:tcW w:w="1418" w:type="dxa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23879">
              <w:rPr>
                <w:color w:val="000000"/>
                <w:sz w:val="24"/>
                <w:szCs w:val="24"/>
              </w:rPr>
              <w:t>ПК-6.1; ПК-6.2; ПК-7.1; ПК-7.2; ПК-7.3; ПК-7.4; ПК-8.1; ПК-8.3</w:t>
            </w:r>
          </w:p>
        </w:tc>
      </w:tr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3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sz w:val="24"/>
                <w:szCs w:val="24"/>
              </w:rPr>
            </w:pPr>
            <w:r w:rsidRPr="006A1DDE">
              <w:rPr>
                <w:sz w:val="24"/>
                <w:szCs w:val="24"/>
              </w:rPr>
              <w:t>Бухгалтерский финансовый учет и отчетность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Pr="00E7141D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 xml:space="preserve">Документальное оформление и отражение на счетах бухгалтерского учета </w:t>
            </w:r>
            <w:proofErr w:type="spellStart"/>
            <w:r w:rsidRPr="00E7141D">
              <w:rPr>
                <w:sz w:val="24"/>
                <w:szCs w:val="24"/>
              </w:rPr>
              <w:t>внеоборотных</w:t>
            </w:r>
            <w:proofErr w:type="spellEnd"/>
            <w:r w:rsidRPr="00E7141D">
              <w:rPr>
                <w:sz w:val="24"/>
                <w:szCs w:val="24"/>
              </w:rPr>
              <w:t xml:space="preserve"> активов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 xml:space="preserve">Документальное оформление и отражение на счетах бухгалтерского учета оборотных активов 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>Формирование и отражение на счетах бухгалтерского учета финансовых результатов и капитала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Бухгалтерская (финансовая) отчетность</w:t>
            </w:r>
            <w:r w:rsidRPr="00E7141D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 сущность и предъявляемые к ней требования,</w:t>
            </w:r>
            <w:r w:rsidRPr="00E7141D">
              <w:rPr>
                <w:sz w:val="24"/>
                <w:szCs w:val="24"/>
              </w:rPr>
              <w:t xml:space="preserve"> содержание показателей, порядок составления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 xml:space="preserve">Амортизация основных и нематериальных активов: бухгалтерский и налоговый учет. 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 xml:space="preserve">Документальное оформление и учет движения </w:t>
            </w:r>
            <w:r>
              <w:rPr>
                <w:sz w:val="24"/>
                <w:szCs w:val="24"/>
              </w:rPr>
              <w:t>запасов в торговых и производственных организациях.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 xml:space="preserve">НДФЛ: нормативное регулирование, понятие и учет. 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 xml:space="preserve">Расходы по обычным видам деятельности: понятие, порядок признания и их учет. 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 xml:space="preserve">Расчеты с персоналом по оплате труда: экономическая сущность, бухгалтерский и налоговый учет. 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3"/>
              </w:numPr>
              <w:ind w:left="34" w:firstLine="0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>Расходы по обычным видам деятельности: понятие, порядок признания и их учет</w:t>
            </w:r>
            <w:r w:rsidRPr="00E7141D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shd w:val="clear" w:color="auto" w:fill="auto"/>
          </w:tcPr>
          <w:p w:rsidR="00C215D1" w:rsidRPr="00412202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412202">
              <w:rPr>
                <w:color w:val="000000"/>
                <w:sz w:val="24"/>
                <w:szCs w:val="24"/>
              </w:rPr>
              <w:t>ПК-1, ПК-3, ПК-5, ПК-6, ПК-8</w:t>
            </w:r>
          </w:p>
        </w:tc>
        <w:tc>
          <w:tcPr>
            <w:tcW w:w="1418" w:type="dxa"/>
          </w:tcPr>
          <w:p w:rsidR="00C215D1" w:rsidRPr="00412202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412202">
              <w:rPr>
                <w:color w:val="000000"/>
                <w:sz w:val="24"/>
                <w:szCs w:val="24"/>
              </w:rPr>
              <w:t>ПК-1.1; ПК-1.2; ПК-3.1; ПК-5.2; ПК-6.4; ПК-8.1; ПК-8.2</w:t>
            </w:r>
          </w:p>
        </w:tc>
      </w:tr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sz w:val="24"/>
                <w:szCs w:val="24"/>
              </w:rPr>
            </w:pPr>
            <w:r w:rsidRPr="006A1DDE">
              <w:rPr>
                <w:sz w:val="24"/>
                <w:szCs w:val="24"/>
              </w:rPr>
              <w:t>Комплексный экономический анализ хозяйственной деятельности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Pr="00E7141D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>Комплексный экономический анализ в бизнес-планировании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>Маркетинговый анализ в системе комплексного анализа хозяйственной деятельности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>Анализ технико-организационного уровня предприятия и других условий его хозяйственной деятельности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t>Методика анализа состояния и эффективности использования ресурсов предприятия</w:t>
            </w:r>
          </w:p>
          <w:p w:rsidR="00C215D1" w:rsidRPr="00E7141D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E7141D">
              <w:rPr>
                <w:sz w:val="24"/>
                <w:szCs w:val="24"/>
              </w:rPr>
              <w:lastRenderedPageBreak/>
              <w:t xml:space="preserve">Общая оценка финансового состояния организации на основе финансовой, бухгалтерской и иной информации 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>Анализ финансовой отчетности: значение, информационная база, методы анализа.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>Деловая активность организации: показатели и основные направления анализа.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>Основные методы анализа денежных потоков организации.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 w:rsidRPr="00D23879">
              <w:rPr>
                <w:sz w:val="24"/>
                <w:szCs w:val="24"/>
              </w:rPr>
              <w:t>Основные направления анализа объемов производства и продаж.</w:t>
            </w:r>
          </w:p>
          <w:p w:rsidR="00C215D1" w:rsidRPr="00D23879" w:rsidRDefault="00C215D1" w:rsidP="00E973EF">
            <w:pPr>
              <w:pStyle w:val="a3"/>
              <w:numPr>
                <w:ilvl w:val="0"/>
                <w:numId w:val="2"/>
              </w:numPr>
              <w:ind w:left="0" w:firstLine="17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Основные направления анализа финансовых результатов деятельности организации.</w:t>
            </w:r>
          </w:p>
        </w:tc>
        <w:tc>
          <w:tcPr>
            <w:tcW w:w="1276" w:type="dxa"/>
            <w:shd w:val="clear" w:color="auto" w:fill="auto"/>
          </w:tcPr>
          <w:p w:rsidR="00C215D1" w:rsidRPr="00D23879" w:rsidRDefault="00C215D1" w:rsidP="00E973E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23879">
              <w:rPr>
                <w:color w:val="000000"/>
                <w:sz w:val="24"/>
                <w:szCs w:val="24"/>
              </w:rPr>
              <w:lastRenderedPageBreak/>
              <w:t>ПК-1, ПК-4, ПК-5</w:t>
            </w:r>
          </w:p>
        </w:tc>
        <w:tc>
          <w:tcPr>
            <w:tcW w:w="1418" w:type="dxa"/>
          </w:tcPr>
          <w:p w:rsidR="00C215D1" w:rsidRPr="00D23879" w:rsidRDefault="00C215D1" w:rsidP="00E973EF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D23879">
              <w:rPr>
                <w:color w:val="000000"/>
                <w:sz w:val="24"/>
                <w:szCs w:val="24"/>
              </w:rPr>
              <w:t>ПК-1.3; ПК-4.1; ПК-4.3; ПК-5.3</w:t>
            </w:r>
          </w:p>
        </w:tc>
      </w:tr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rPr>
                <w:sz w:val="24"/>
                <w:szCs w:val="24"/>
              </w:rPr>
            </w:pPr>
            <w:r w:rsidRPr="006A1DDE">
              <w:rPr>
                <w:sz w:val="24"/>
                <w:szCs w:val="24"/>
              </w:rPr>
              <w:t>Корпоративные финансы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bCs/>
                <w:sz w:val="24"/>
                <w:szCs w:val="24"/>
              </w:rPr>
            </w:pPr>
            <w:r w:rsidRPr="00412202">
              <w:rPr>
                <w:bCs/>
                <w:sz w:val="24"/>
                <w:szCs w:val="24"/>
              </w:rPr>
              <w:t>Организационно-правовые формы коммерческих организаций и особенности их финансирования. Ответственность собственников и менеджеров за результаты деятельности организации.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bCs/>
                <w:sz w:val="24"/>
                <w:szCs w:val="24"/>
              </w:rPr>
            </w:pPr>
            <w:r w:rsidRPr="00412202">
              <w:rPr>
                <w:bCs/>
                <w:sz w:val="24"/>
                <w:szCs w:val="24"/>
              </w:rPr>
              <w:t>Финансовая стратегия и тактика. Бизнес-планирование деятельности организации.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bCs/>
                <w:sz w:val="24"/>
                <w:szCs w:val="24"/>
              </w:rPr>
              <w:t>Эффект финансового</w:t>
            </w:r>
            <w:r w:rsidRPr="00412202">
              <w:rPr>
                <w:sz w:val="24"/>
                <w:szCs w:val="24"/>
              </w:rPr>
              <w:t xml:space="preserve"> рычага: порядок расчёта и использование в управлении предприятием.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Сила воздействия операционного рычага. Точка безубыточности и порог рентабельности.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Методы оценки стоимости основных средств предприятия. Показатели эффективности использования основных производственных фондов.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Цена и структура капитала хозяйствующего субъекта. Модель Гордона.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Анализ денежных потоков предприятия. Понятие чистого денежного потока и его роль в управлении финансами предприятия.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Риск несостоятельности хозяйствующего субъекта. Финансовая реструктуризация предприятия при процедуре банкротства.</w:t>
            </w:r>
          </w:p>
          <w:p w:rsidR="00C215D1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17"/>
                <w:tab w:val="left" w:pos="5103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Экономическое содержание, структура и эффективность использования оборотных средств предприятия.</w:t>
            </w:r>
          </w:p>
          <w:p w:rsidR="00C215D1" w:rsidRPr="00412202" w:rsidRDefault="00C215D1" w:rsidP="00E973EF">
            <w:pPr>
              <w:pStyle w:val="a3"/>
              <w:widowControl w:val="0"/>
              <w:numPr>
                <w:ilvl w:val="0"/>
                <w:numId w:val="6"/>
              </w:numPr>
              <w:shd w:val="clear" w:color="auto" w:fill="FFFFFF"/>
              <w:tabs>
                <w:tab w:val="left" w:pos="34"/>
                <w:tab w:val="left" w:pos="317"/>
              </w:tabs>
              <w:autoSpaceDE w:val="0"/>
              <w:autoSpaceDN w:val="0"/>
              <w:adjustRightInd w:val="0"/>
              <w:ind w:left="317" w:right="-2" w:hanging="283"/>
              <w:jc w:val="both"/>
              <w:rPr>
                <w:sz w:val="24"/>
                <w:szCs w:val="24"/>
              </w:rPr>
            </w:pPr>
            <w:r w:rsidRPr="00412202">
              <w:rPr>
                <w:sz w:val="24"/>
                <w:szCs w:val="24"/>
              </w:rPr>
              <w:t>Концепция риска и доходности финансовых активов предприятия. Инвестиционные риски и методы их снижения.</w:t>
            </w:r>
          </w:p>
        </w:tc>
        <w:tc>
          <w:tcPr>
            <w:tcW w:w="1276" w:type="dxa"/>
            <w:shd w:val="clear" w:color="auto" w:fill="auto"/>
          </w:tcPr>
          <w:p w:rsidR="00C215D1" w:rsidRPr="00412202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412202">
              <w:rPr>
                <w:color w:val="000000"/>
                <w:sz w:val="24"/>
                <w:szCs w:val="24"/>
              </w:rPr>
              <w:t>ПК-4; ПК-6</w:t>
            </w:r>
          </w:p>
        </w:tc>
        <w:tc>
          <w:tcPr>
            <w:tcW w:w="1418" w:type="dxa"/>
          </w:tcPr>
          <w:p w:rsidR="00C215D1" w:rsidRPr="00412202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412202">
              <w:rPr>
                <w:color w:val="000000"/>
                <w:sz w:val="24"/>
                <w:szCs w:val="24"/>
              </w:rPr>
              <w:t>ПК-4.1, ПК-4.2; ПК-4.3; ПК-6.1</w:t>
            </w:r>
          </w:p>
        </w:tc>
      </w:tr>
      <w:tr w:rsidR="00C215D1" w:rsidRPr="006A1DDE" w:rsidTr="00E973EF">
        <w:tc>
          <w:tcPr>
            <w:tcW w:w="817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C215D1" w:rsidRPr="006A1DDE" w:rsidRDefault="00C215D1" w:rsidP="00E973EF">
            <w:pPr>
              <w:jc w:val="center"/>
              <w:rPr>
                <w:sz w:val="24"/>
                <w:szCs w:val="24"/>
              </w:rPr>
            </w:pPr>
            <w:r w:rsidRPr="006A1DDE">
              <w:rPr>
                <w:sz w:val="24"/>
                <w:szCs w:val="24"/>
              </w:rPr>
              <w:t>Финансы и кредит</w:t>
            </w:r>
          </w:p>
        </w:tc>
        <w:tc>
          <w:tcPr>
            <w:tcW w:w="4961" w:type="dxa"/>
            <w:shd w:val="clear" w:color="auto" w:fill="auto"/>
            <w:vAlign w:val="center"/>
          </w:tcPr>
          <w:p w:rsidR="00C215D1" w:rsidRPr="007972F0" w:rsidRDefault="00C215D1" w:rsidP="00E973EF">
            <w:pPr>
              <w:numPr>
                <w:ilvl w:val="0"/>
                <w:numId w:val="4"/>
              </w:numPr>
              <w:tabs>
                <w:tab w:val="left" w:pos="317"/>
              </w:tabs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 xml:space="preserve">Бюджетная система России, принципы её построения. Особенности доходов и </w:t>
            </w:r>
            <w:r w:rsidRPr="007972F0">
              <w:rPr>
                <w:sz w:val="24"/>
                <w:szCs w:val="24"/>
              </w:rPr>
              <w:lastRenderedPageBreak/>
              <w:t>расходов бюджетов разного уровня бюджетной системы.</w:t>
            </w:r>
          </w:p>
          <w:p w:rsidR="00C215D1" w:rsidRPr="007972F0" w:rsidRDefault="00C215D1" w:rsidP="00E973EF">
            <w:pPr>
              <w:numPr>
                <w:ilvl w:val="0"/>
                <w:numId w:val="4"/>
              </w:numPr>
              <w:tabs>
                <w:tab w:val="left" w:pos="317"/>
              </w:tabs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Финансовая политика государства и её роль в регулировании экономики. Основные направления современной финансовой политики РФ, их характеристика.</w:t>
            </w:r>
          </w:p>
          <w:p w:rsidR="00C215D1" w:rsidRPr="007972F0" w:rsidRDefault="00C215D1" w:rsidP="00E973EF">
            <w:pPr>
              <w:pStyle w:val="a3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83"/>
                <w:tab w:val="left" w:pos="5103"/>
              </w:tabs>
              <w:autoSpaceDE w:val="0"/>
              <w:autoSpaceDN w:val="0"/>
              <w:adjustRightInd w:val="0"/>
              <w:ind w:left="317" w:right="83" w:hanging="283"/>
              <w:contextualSpacing w:val="0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Сбалансированность бюджетов бюджетной системы РФ. Понятия бюджетного дефицита и профицита. Источники финансирования дефицита бюджета.</w:t>
            </w:r>
          </w:p>
          <w:p w:rsidR="00C215D1" w:rsidRPr="007972F0" w:rsidRDefault="00C215D1" w:rsidP="00E973EF">
            <w:pPr>
              <w:pStyle w:val="a3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283"/>
                <w:tab w:val="left" w:pos="5103"/>
              </w:tabs>
              <w:autoSpaceDE w:val="0"/>
              <w:autoSpaceDN w:val="0"/>
              <w:adjustRightInd w:val="0"/>
              <w:ind w:left="317" w:hanging="283"/>
              <w:contextualSpacing w:val="0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Налоговые системы, принципы их построения и функции. Особенности современной налоговой системы РФ и пути её совершенствования.</w:t>
            </w:r>
          </w:p>
          <w:p w:rsidR="00C215D1" w:rsidRPr="007972F0" w:rsidRDefault="00C215D1" w:rsidP="00E973EF">
            <w:pPr>
              <w:pStyle w:val="a3"/>
              <w:widowControl w:val="0"/>
              <w:numPr>
                <w:ilvl w:val="0"/>
                <w:numId w:val="4"/>
              </w:numPr>
              <w:shd w:val="clear" w:color="auto" w:fill="FFFFFF"/>
              <w:tabs>
                <w:tab w:val="left" w:pos="302"/>
                <w:tab w:val="left" w:pos="5103"/>
              </w:tabs>
              <w:autoSpaceDE w:val="0"/>
              <w:autoSpaceDN w:val="0"/>
              <w:adjustRightInd w:val="0"/>
              <w:ind w:left="317" w:hanging="283"/>
              <w:contextualSpacing w:val="0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 xml:space="preserve">Государственный и муниципальный финансовый контроль, его </w:t>
            </w:r>
            <w:proofErr w:type="gramStart"/>
            <w:r w:rsidRPr="007972F0">
              <w:rPr>
                <w:sz w:val="24"/>
                <w:szCs w:val="24"/>
              </w:rPr>
              <w:t>сущность,  формы</w:t>
            </w:r>
            <w:proofErr w:type="gramEnd"/>
            <w:r w:rsidRPr="007972F0">
              <w:rPr>
                <w:sz w:val="24"/>
                <w:szCs w:val="24"/>
              </w:rPr>
              <w:t>, органы финансового контроля.</w:t>
            </w:r>
          </w:p>
          <w:p w:rsidR="00C215D1" w:rsidRPr="007972F0" w:rsidRDefault="00C215D1" w:rsidP="00E973EF">
            <w:pPr>
              <w:numPr>
                <w:ilvl w:val="0"/>
                <w:numId w:val="4"/>
              </w:numPr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Основные формы кредита, виды и методы кредитования.</w:t>
            </w:r>
          </w:p>
          <w:p w:rsidR="00C215D1" w:rsidRPr="007972F0" w:rsidRDefault="00C215D1" w:rsidP="00E973EF">
            <w:pPr>
              <w:numPr>
                <w:ilvl w:val="0"/>
                <w:numId w:val="4"/>
              </w:numPr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Ссудный процент и закономерности его формирования. Виды процентных ставок в кредитной практике.</w:t>
            </w:r>
          </w:p>
          <w:p w:rsidR="00C215D1" w:rsidRPr="007972F0" w:rsidRDefault="00C215D1" w:rsidP="00E973EF">
            <w:pPr>
              <w:numPr>
                <w:ilvl w:val="0"/>
                <w:numId w:val="4"/>
              </w:numPr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Валютный рынок, его структура, участники и базовые категории. Роль валютного рынка в развитии экономики.</w:t>
            </w:r>
          </w:p>
          <w:p w:rsidR="00C215D1" w:rsidRPr="007972F0" w:rsidRDefault="00C215D1" w:rsidP="00E973EF">
            <w:pPr>
              <w:numPr>
                <w:ilvl w:val="0"/>
                <w:numId w:val="4"/>
              </w:numPr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 xml:space="preserve">Финансовые инструменты, их виды и особенности использования экономическими субъектами. </w:t>
            </w:r>
          </w:p>
          <w:p w:rsidR="00C215D1" w:rsidRPr="007972F0" w:rsidRDefault="00C215D1" w:rsidP="00E973EF">
            <w:pPr>
              <w:numPr>
                <w:ilvl w:val="0"/>
                <w:numId w:val="4"/>
              </w:numPr>
              <w:tabs>
                <w:tab w:val="left" w:pos="455"/>
              </w:tabs>
              <w:ind w:left="317" w:hanging="283"/>
              <w:jc w:val="both"/>
              <w:rPr>
                <w:sz w:val="24"/>
                <w:szCs w:val="24"/>
              </w:rPr>
            </w:pPr>
            <w:r w:rsidRPr="007972F0">
              <w:rPr>
                <w:sz w:val="24"/>
                <w:szCs w:val="24"/>
              </w:rPr>
              <w:t>Финансовые риски, их виды, расчёт величины рисков и эффективные способы защиты.</w:t>
            </w:r>
          </w:p>
        </w:tc>
        <w:tc>
          <w:tcPr>
            <w:tcW w:w="1276" w:type="dxa"/>
            <w:shd w:val="clear" w:color="auto" w:fill="auto"/>
          </w:tcPr>
          <w:p w:rsidR="00C215D1" w:rsidRPr="007972F0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7972F0">
              <w:rPr>
                <w:color w:val="000000"/>
                <w:sz w:val="24"/>
                <w:szCs w:val="24"/>
              </w:rPr>
              <w:lastRenderedPageBreak/>
              <w:t>ПК-6; ПК-7; ПК-8</w:t>
            </w:r>
          </w:p>
        </w:tc>
        <w:tc>
          <w:tcPr>
            <w:tcW w:w="1418" w:type="dxa"/>
          </w:tcPr>
          <w:p w:rsidR="00C215D1" w:rsidRPr="007972F0" w:rsidRDefault="00C215D1" w:rsidP="00E973EF">
            <w:pPr>
              <w:jc w:val="center"/>
              <w:rPr>
                <w:color w:val="000000"/>
                <w:sz w:val="24"/>
                <w:szCs w:val="24"/>
              </w:rPr>
            </w:pPr>
            <w:r w:rsidRPr="007972F0">
              <w:rPr>
                <w:color w:val="000000"/>
                <w:sz w:val="24"/>
                <w:szCs w:val="24"/>
              </w:rPr>
              <w:t xml:space="preserve">ПК-6.1; ПК-6.2; ПК-7.1; </w:t>
            </w:r>
            <w:r w:rsidRPr="007972F0">
              <w:rPr>
                <w:color w:val="000000"/>
                <w:sz w:val="24"/>
                <w:szCs w:val="24"/>
              </w:rPr>
              <w:lastRenderedPageBreak/>
              <w:t>ПК-7.3; ПК-7.4; ПК-8.1</w:t>
            </w:r>
          </w:p>
        </w:tc>
      </w:tr>
    </w:tbl>
    <w:p w:rsidR="00C215D1" w:rsidRDefault="00C215D1" w:rsidP="00C215D1">
      <w:pPr>
        <w:ind w:firstLine="360"/>
        <w:jc w:val="both"/>
        <w:rPr>
          <w:color w:val="000000"/>
          <w:sz w:val="28"/>
          <w:szCs w:val="28"/>
        </w:rPr>
      </w:pPr>
    </w:p>
    <w:p w:rsidR="00C215D1" w:rsidRDefault="00C215D1" w:rsidP="00C215D1">
      <w:pPr>
        <w:ind w:firstLine="360"/>
        <w:jc w:val="both"/>
        <w:rPr>
          <w:color w:val="000000"/>
          <w:sz w:val="28"/>
          <w:szCs w:val="28"/>
        </w:rPr>
      </w:pPr>
    </w:p>
    <w:p w:rsidR="00C215D1" w:rsidRDefault="00C215D1" w:rsidP="00C215D1">
      <w:pPr>
        <w:ind w:firstLine="360"/>
        <w:jc w:val="both"/>
        <w:rPr>
          <w:color w:val="000000"/>
          <w:sz w:val="28"/>
          <w:szCs w:val="28"/>
        </w:rPr>
      </w:pPr>
    </w:p>
    <w:p w:rsidR="00555F4A" w:rsidRDefault="00555F4A">
      <w:bookmarkStart w:id="1" w:name="_GoBack"/>
      <w:bookmarkEnd w:id="1"/>
    </w:p>
    <w:sectPr w:rsidR="00555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031E0F"/>
    <w:multiLevelType w:val="hybridMultilevel"/>
    <w:tmpl w:val="D052882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1E7A6D"/>
    <w:multiLevelType w:val="hybridMultilevel"/>
    <w:tmpl w:val="6354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827755"/>
    <w:multiLevelType w:val="hybridMultilevel"/>
    <w:tmpl w:val="6354F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1F5373"/>
    <w:multiLevelType w:val="hybridMultilevel"/>
    <w:tmpl w:val="70D62324"/>
    <w:lvl w:ilvl="0" w:tplc="946441B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5341CD"/>
    <w:multiLevelType w:val="hybridMultilevel"/>
    <w:tmpl w:val="1A34800C"/>
    <w:lvl w:ilvl="0" w:tplc="6A8CE578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E61560E"/>
    <w:multiLevelType w:val="hybridMultilevel"/>
    <w:tmpl w:val="C100BF0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558A"/>
    <w:rsid w:val="0015558A"/>
    <w:rsid w:val="00555F4A"/>
    <w:rsid w:val="00C21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46F2062-3360-4098-B07F-0F4C147A0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15D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C215D1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rsid w:val="00C215D1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901</Words>
  <Characters>5141</Characters>
  <Application>Microsoft Office Word</Application>
  <DocSecurity>0</DocSecurity>
  <Lines>42</Lines>
  <Paragraphs>12</Paragraphs>
  <ScaleCrop>false</ScaleCrop>
  <Company/>
  <LinksUpToDate>false</LinksUpToDate>
  <CharactersWithSpaces>6030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</dc:creator>
  <cp:keywords/>
  <dc:description/>
  <cp:lastModifiedBy>US</cp:lastModifiedBy>
  <cp:revision>2</cp:revision>
  <dcterms:created xsi:type="dcterms:W3CDTF">2025-01-10T05:08:00Z</dcterms:created>
  <dcterms:modified xsi:type="dcterms:W3CDTF">2025-01-10T05:08:00Z</dcterms:modified>
</cp:coreProperties>
</file>